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8823" w14:textId="77777777" w:rsidR="00AF2743" w:rsidRPr="006236E7" w:rsidRDefault="007624EB" w:rsidP="005C753E">
      <w:pPr>
        <w:spacing w:after="0" w:line="240" w:lineRule="auto"/>
        <w:ind w:right="9"/>
        <w:jc w:val="center"/>
        <w:rPr>
          <w:lang w:val="pt-BR"/>
        </w:rPr>
      </w:pPr>
      <w:r w:rsidRPr="006236E7">
        <w:rPr>
          <w:b/>
          <w:lang w:val="pt-BR"/>
        </w:rPr>
        <w:t xml:space="preserve">ECOLOGIA ALIMENTAR DO JIQUIRI </w:t>
      </w:r>
      <w:r w:rsidRPr="006236E7">
        <w:rPr>
          <w:b/>
          <w:i/>
          <w:lang w:val="pt-BR"/>
        </w:rPr>
        <w:t>Conodon nobilis</w:t>
      </w:r>
      <w:r w:rsidRPr="006236E7">
        <w:rPr>
          <w:b/>
          <w:lang w:val="pt-BR"/>
        </w:rPr>
        <w:t xml:space="preserve"> (LINNAEUS, 1758) </w:t>
      </w:r>
    </w:p>
    <w:p w14:paraId="1E2F7B76" w14:textId="77777777" w:rsidR="00AF2743" w:rsidRPr="006236E7" w:rsidRDefault="007624EB" w:rsidP="005C753E">
      <w:pPr>
        <w:spacing w:after="0" w:line="240" w:lineRule="auto"/>
        <w:ind w:right="8"/>
        <w:jc w:val="center"/>
        <w:rPr>
          <w:lang w:val="pt-BR"/>
        </w:rPr>
      </w:pPr>
      <w:r w:rsidRPr="006236E7">
        <w:rPr>
          <w:b/>
          <w:lang w:val="pt-BR"/>
        </w:rPr>
        <w:t xml:space="preserve">CAPTURADOS NA ÁREA DE PROTEÇÃO AMBIENTAL DE UPAON-AÇU, </w:t>
      </w:r>
    </w:p>
    <w:p w14:paraId="1EA0220E" w14:textId="77777777" w:rsidR="00AF2743" w:rsidRPr="006236E7" w:rsidRDefault="007624EB" w:rsidP="005C753E">
      <w:pPr>
        <w:spacing w:after="0" w:line="240" w:lineRule="auto"/>
        <w:ind w:right="3"/>
        <w:jc w:val="center"/>
        <w:rPr>
          <w:lang w:val="pt-BR"/>
        </w:rPr>
      </w:pPr>
      <w:r w:rsidRPr="006236E7">
        <w:rPr>
          <w:b/>
          <w:lang w:val="pt-BR"/>
        </w:rPr>
        <w:t xml:space="preserve">MARANHÃO </w:t>
      </w:r>
    </w:p>
    <w:p w14:paraId="004731CE" w14:textId="77777777" w:rsidR="00AF2743" w:rsidRPr="006236E7" w:rsidRDefault="007624EB" w:rsidP="005C753E">
      <w:pPr>
        <w:spacing w:after="0" w:line="240" w:lineRule="auto"/>
        <w:ind w:left="0" w:firstLine="0"/>
        <w:jc w:val="left"/>
        <w:rPr>
          <w:lang w:val="pt-BR"/>
        </w:rPr>
      </w:pPr>
      <w:r w:rsidRPr="006236E7">
        <w:rPr>
          <w:b/>
          <w:lang w:val="pt-BR"/>
        </w:rPr>
        <w:t xml:space="preserve"> </w:t>
      </w:r>
    </w:p>
    <w:p w14:paraId="464E6096" w14:textId="77777777" w:rsidR="00AF2743" w:rsidRPr="006236E7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BOLSISTA</w:t>
      </w:r>
      <w:r w:rsidRPr="006236E7">
        <w:rPr>
          <w:lang w:val="pt-BR"/>
        </w:rPr>
        <w:t xml:space="preserve">: Anna Maria Monteles OLIVEIRA. Bolsista </w:t>
      </w:r>
      <w:r w:rsidRPr="006236E7">
        <w:rPr>
          <w:b/>
          <w:lang w:val="pt-BR"/>
        </w:rPr>
        <w:t>UEMA</w:t>
      </w:r>
      <w:r w:rsidRPr="006236E7">
        <w:rPr>
          <w:lang w:val="pt-BR"/>
        </w:rPr>
        <w:t xml:space="preserve">. Curso de Ciências Biológicas -Bacharelado/ Departamento de Biologia. Universidade Estadual do Maranhão. </w:t>
      </w:r>
    </w:p>
    <w:p w14:paraId="47DC2F8A" w14:textId="77777777" w:rsidR="00AF2743" w:rsidRPr="006236E7" w:rsidRDefault="007624EB" w:rsidP="005C753E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14:paraId="65188936" w14:textId="77777777" w:rsidR="00AF2743" w:rsidRPr="006236E7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ORIENTADOR (A)</w:t>
      </w:r>
      <w:r w:rsidRPr="006236E7">
        <w:rPr>
          <w:lang w:val="pt-BR"/>
        </w:rPr>
        <w:t xml:space="preserve">: Marina Bezerra FIGUEIREDO. Departamento de Engenharia de Pesca/ Centro de Ciências Agrárias. Universidade Estadual do Maranhão. </w:t>
      </w:r>
    </w:p>
    <w:p w14:paraId="7954D2C7" w14:textId="77777777" w:rsidR="00AF2743" w:rsidRPr="006236E7" w:rsidRDefault="007624EB" w:rsidP="005C753E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14:paraId="4627074A" w14:textId="77777777" w:rsidR="00AF2743" w:rsidRPr="006236E7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COLABORADOR (ES)</w:t>
      </w:r>
      <w:r w:rsidRPr="006236E7">
        <w:rPr>
          <w:lang w:val="pt-BR"/>
        </w:rPr>
        <w:t xml:space="preserve">: Gabriel Campos FERNANDES, graduando em Ciências Biológicas/ Departamento de Biologia. UEMA; Maria Fabiene de Sousa BARROS, Mestre em Recursos Aquático e Pesca. UEMA. </w:t>
      </w:r>
    </w:p>
    <w:p w14:paraId="624F8A68" w14:textId="77777777" w:rsidR="00AF2743" w:rsidRPr="006236E7" w:rsidRDefault="007624EB" w:rsidP="005C753E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</w:t>
      </w:r>
    </w:p>
    <w:p w14:paraId="207DA089" w14:textId="77777777" w:rsidR="00AF2743" w:rsidRDefault="007624EB" w:rsidP="005C753E">
      <w:pPr>
        <w:pStyle w:val="Ttulo1"/>
        <w:spacing w:after="0" w:line="240" w:lineRule="auto"/>
        <w:ind w:left="-5" w:right="0"/>
      </w:pPr>
      <w:r>
        <w:t xml:space="preserve">INTRODUÇÃO </w:t>
      </w:r>
    </w:p>
    <w:p w14:paraId="0E8458B3" w14:textId="77777777" w:rsidR="00AF2743" w:rsidRPr="006236E7" w:rsidRDefault="007624EB" w:rsidP="005C753E">
      <w:pPr>
        <w:spacing w:after="0" w:line="240" w:lineRule="auto"/>
        <w:ind w:left="-15" w:firstLine="661"/>
        <w:rPr>
          <w:lang w:val="pt-BR"/>
        </w:rPr>
      </w:pPr>
      <w:r w:rsidRPr="006236E7">
        <w:rPr>
          <w:lang w:val="pt-BR"/>
        </w:rPr>
        <w:t xml:space="preserve">Os peixes possuem ampla variedade de hábitos alimentares, algumas espécies são amplamente especializadas, alimentando-se somente de um item, enquanto outras são generalistas consumindo o que há de abundância (HELFMAN et al., 2009; NELSON, 2006; WINEMILLER et al., 2008). Estes estudos permitem a identificação de fatores que afetam a distribuição e abundância das espécies (DEUS, 2010); proporcionam uma base para o entendimento da dinâmica ecológica de populações de peixes e de outros organismos aquáticos; além de inferências sobre uso de hábitat, disponibilidade de recursos e características comportamentais (HAHN et al., 2004). </w:t>
      </w:r>
      <w:r w:rsidRPr="006236E7">
        <w:rPr>
          <w:i/>
          <w:lang w:val="pt-BR"/>
        </w:rPr>
        <w:t>Conodon nobilis</w:t>
      </w:r>
      <w:r w:rsidRPr="006236E7">
        <w:rPr>
          <w:lang w:val="pt-BR"/>
        </w:rPr>
        <w:t xml:space="preserve">, conhecida popularmente como “Jiquiri”, é considerada uma espécie importante economicamente na área de estudo deste projeto, porém os estudos acerca da ecologia alimentar, necessários para embasar uma legislação destinada à sua proteção para o estado do Maranhão são poucos. O trabalho objetivou descrever os principais aspectos da ecologia trófica, bem como possíveis variações ontogenéticas na alimentação da espécie. </w:t>
      </w:r>
    </w:p>
    <w:p w14:paraId="064B95F6" w14:textId="77777777" w:rsidR="00AF2743" w:rsidRPr="006236E7" w:rsidRDefault="007624EB" w:rsidP="005C753E">
      <w:pPr>
        <w:spacing w:after="0" w:line="240" w:lineRule="auto"/>
        <w:ind w:left="11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t xml:space="preserve">  </w:t>
      </w:r>
    </w:p>
    <w:p w14:paraId="1CC4A40F" w14:textId="77777777" w:rsidR="00AF2743" w:rsidRDefault="007624EB" w:rsidP="005C753E">
      <w:pPr>
        <w:pStyle w:val="Ttulo1"/>
        <w:spacing w:after="0" w:line="240" w:lineRule="auto"/>
        <w:ind w:left="-5" w:right="0"/>
      </w:pPr>
      <w:r>
        <w:t xml:space="preserve">METODOLOGIA </w:t>
      </w:r>
    </w:p>
    <w:p w14:paraId="3ED694F0" w14:textId="5F1C4855" w:rsidR="00AF2743" w:rsidRPr="006236E7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lang w:val="pt-BR"/>
        </w:rPr>
        <w:t>Foi feito análise em 360 estômagos coletados no período de janeiro a dezembro de 2021 no município de Raposa - MA. Em laboratório obtiveram-se as medidas de comprimento total, comprimento padrão, comprimento furcal do peixe, onde todos os dados obtidos foram quantificados em centímetro, com paquímetro. O peso total foi obtido com auxílio de balança digital e quantificado em gramas. Em seguida ao levantamento de dados biométricos, os indivíduos foram dissecados para retirada dos estômagos, posteriormente foram pesados em balança de precisão, registrando-se assim o peso de cada estômago íntegro. Os exemplares foram acondicionados em recipientes contendo formol a 10% para posterior análise e classificação dos itens alimentares. Na análise quantitativa, os estômagos foram classificados individualmente quanto ao índice de repleção em quatro categorias adaptadas da escala proposta por Hérran(1987): estômago vazio; estômago quase cheio (1/4 de alimento); estômago parcialmente cheio (1/2 de alimento); estômago cheio. Os itens estomacais foram classificados quanto ao grau de digestão, em três categorias, utilizando-se uma escala adaptada de Hérran (1987): digerido; semi-digerido; não digerido. A composição qualitativa da dieta foi analisada por meio do método de frequência de ocorrência (Hyslop, 1980). Para o cálculo de frequência volumétrica foi utilizada a equação: Fv=(vi/V)*100. A abundância relativa foi obtida através da equação:   Pi=(</w:t>
      </w:r>
      <w:r>
        <w:t>Σ</w:t>
      </w:r>
      <w:r w:rsidRPr="006236E7">
        <w:rPr>
          <w:lang w:val="pt-BR"/>
        </w:rPr>
        <w:t>Si/</w:t>
      </w:r>
      <w:r>
        <w:t>Σ</w:t>
      </w:r>
      <w:r w:rsidRPr="006236E7">
        <w:rPr>
          <w:lang w:val="pt-BR"/>
        </w:rPr>
        <w:t xml:space="preserve">Sti)*100. A estratégia alimentar foi analisada por meio do método gráfico de Costello(1990), modificado por Amundsen et al. (1996), onde as informações sobre a ecologia alimentar foram obtidas pela relação gráfica entre abundância de presa específica e sua frequência de ocorrência. </w:t>
      </w:r>
    </w:p>
    <w:p w14:paraId="491C8B96" w14:textId="77777777" w:rsidR="00AF2743" w:rsidRPr="006236E7" w:rsidRDefault="007624EB" w:rsidP="005C753E">
      <w:pPr>
        <w:spacing w:after="0" w:line="240" w:lineRule="auto"/>
        <w:ind w:left="58" w:firstLine="0"/>
        <w:jc w:val="center"/>
        <w:rPr>
          <w:lang w:val="pt-BR"/>
        </w:rPr>
      </w:pPr>
      <w:r w:rsidRPr="006236E7">
        <w:rPr>
          <w:color w:val="4472C4"/>
          <w:lang w:val="pt-BR"/>
        </w:rPr>
        <w:lastRenderedPageBreak/>
        <w:t xml:space="preserve"> </w:t>
      </w:r>
    </w:p>
    <w:p w14:paraId="6723CF82" w14:textId="77777777" w:rsidR="00AF2743" w:rsidRDefault="007624EB" w:rsidP="005C753E">
      <w:pPr>
        <w:pStyle w:val="Ttulo1"/>
        <w:spacing w:after="0" w:line="240" w:lineRule="auto"/>
        <w:ind w:left="-5" w:right="0"/>
      </w:pPr>
      <w:r>
        <w:t xml:space="preserve">RESULTADOS E DISCUSSÃO </w:t>
      </w:r>
    </w:p>
    <w:p w14:paraId="63DC9C25" w14:textId="5797837A" w:rsidR="00AF2743" w:rsidRPr="006236E7" w:rsidRDefault="007624EB" w:rsidP="005C753E">
      <w:pPr>
        <w:spacing w:after="0" w:line="240" w:lineRule="auto"/>
        <w:ind w:left="-15" w:firstLine="711"/>
        <w:rPr>
          <w:lang w:val="pt-BR"/>
        </w:rPr>
      </w:pPr>
      <w:r w:rsidRPr="006236E7">
        <w:rPr>
          <w:lang w:val="pt-BR"/>
        </w:rPr>
        <w:t xml:space="preserve">Dos 360 espécimes analisados, 217 foram fêmeas (60,28%) e 143 machos (39,72%). De acordo com os parâmetros conhecidos a partir de medição é possível verificar que essa espécie é de pequeno a médio porte, medindo entre 11cm e 31.8cm (CT) e pesando de 0.8g a 560g (PT). Na análise do conteúdo estomacal foram encontrados cinco tipos de itens alimentares, dentre eles: peixes, crustáceos, moluscos, sedimento rochoso e outros (materiais de origem desconhecida ou não identificada e massa mofa). Na categoria de peixes foi possível identificar quatro possíveis espécies: </w:t>
      </w:r>
      <w:r w:rsidRPr="006236E7">
        <w:rPr>
          <w:i/>
          <w:lang w:val="pt-BR"/>
        </w:rPr>
        <w:t xml:space="preserve">Chloroscombrus chrysurus </w:t>
      </w:r>
      <w:r w:rsidRPr="006236E7">
        <w:rPr>
          <w:lang w:val="pt-BR"/>
        </w:rPr>
        <w:t xml:space="preserve">(palombeta), </w:t>
      </w:r>
      <w:r w:rsidRPr="006236E7">
        <w:rPr>
          <w:i/>
          <w:lang w:val="pt-BR"/>
        </w:rPr>
        <w:t xml:space="preserve">Pellonana harroweri </w:t>
      </w:r>
      <w:r w:rsidRPr="006236E7">
        <w:rPr>
          <w:lang w:val="pt-BR"/>
        </w:rPr>
        <w:t xml:space="preserve">(sardinhão), </w:t>
      </w:r>
      <w:r w:rsidRPr="006236E7">
        <w:rPr>
          <w:i/>
          <w:lang w:val="pt-BR"/>
        </w:rPr>
        <w:t xml:space="preserve">Odontognathus mucronatus </w:t>
      </w:r>
      <w:r w:rsidRPr="006236E7">
        <w:rPr>
          <w:lang w:val="pt-BR"/>
        </w:rPr>
        <w:t xml:space="preserve">(sardinha-branca), e </w:t>
      </w:r>
      <w:r w:rsidRPr="006236E7">
        <w:rPr>
          <w:i/>
          <w:lang w:val="pt-BR"/>
        </w:rPr>
        <w:t xml:space="preserve">Cetengraulis edentulus </w:t>
      </w:r>
      <w:r w:rsidRPr="006236E7">
        <w:rPr>
          <w:lang w:val="pt-BR"/>
        </w:rPr>
        <w:t>(sardinha-de-gato)</w:t>
      </w:r>
      <w:r w:rsidRPr="006236E7">
        <w:rPr>
          <w:i/>
          <w:lang w:val="pt-BR"/>
        </w:rPr>
        <w:t xml:space="preserve">. </w:t>
      </w:r>
      <w:r w:rsidRPr="006236E7">
        <w:rPr>
          <w:lang w:val="pt-BR"/>
        </w:rPr>
        <w:t xml:space="preserve">Na categoria de crustáceos foi identificado principalmente camarão, sendo alguns da espécie </w:t>
      </w:r>
      <w:r w:rsidRPr="006236E7">
        <w:rPr>
          <w:i/>
          <w:lang w:val="pt-BR"/>
        </w:rPr>
        <w:t xml:space="preserve">Penaeus schimitii </w:t>
      </w:r>
      <w:r w:rsidRPr="006236E7">
        <w:rPr>
          <w:lang w:val="pt-BR"/>
        </w:rPr>
        <w:t xml:space="preserve">(piticaia). Para a categoria dos moluscos foi encontrada uma lula e órgãos de moluscos digeridos. Na categoria de sedimentos foram encontrados alguns fragmentos rochosos e outros fragmentos de Clypeasteroida (bolacha-da-praia). Já na categoria de “outros” estão inseridos massa branca ou escura considerada neste estudo como “massa mofa” e itens de origem desconhecida ou não possíveis de identificar devido ao alto grau de digestão. Para a análise do índice de repleção, observa-se que em todas as doze coletas foram identificados estômagos nas quatro categorias. Dos 360 estômagos analisados: 59,72% continham algum item alimentar e 40,28% estavam vazios. Para os resultados obtidos quanto ao grau de digestão, a categoria de digerido foi expressa em 71% dos estômagos, caracterizando maior expressão. Esta categoria configura a dificuldade em identificar os itens alimentares em nível taxonômico de espécie. A categoria “semi-digerido” apresentou 20,1% de expressão; itens alimentares nesse estado são encontrados geralmente em pedaços ou fragmentos e exigem uma análise mais cautelosa, porém permitem a possibilidade de identificação em nível taxonômico de espécie ou gênero em alguns casos, o que é algo positivo. Já a categoria 3 (não digerido) ocorreu em 8,9% dos estômagos, sendo pouco comum e o de menor expressão, embora seja o que melhor permite uma identificação e classificação dos itens em menor nível taxonômico possível. Para a frequência de ocorrência dos itens, a categoria de peixes se destaca como mais abundante em todos os meses, embora apresente maior expressão no período de estiagem com 52,3% de frequência, do que no período chuvoso, em que apresentou 21,4% de frequência de ocorrência. Seguido da categoria de crustáceos que apresentou a segunda maior frequência. O Diagrama de Amundsen para expressão da ecologia alimentar de </w:t>
      </w:r>
      <w:r w:rsidRPr="006236E7">
        <w:rPr>
          <w:i/>
          <w:lang w:val="pt-BR"/>
        </w:rPr>
        <w:t>C. nobilis</w:t>
      </w:r>
      <w:r w:rsidRPr="006236E7">
        <w:rPr>
          <w:lang w:val="pt-BR"/>
        </w:rPr>
        <w:t xml:space="preserve"> considerando a relação entre frequência de ocorrência e abundância de presa indicam que a espécie apresenta estratégia alimentar especialista, consumindo em maior abundância itens específicos, neste caso peixes e crustáceos. Indicando que a espécie não consome uma diversidade de recursos disponíveis, mas apresenta restrita amplitude de nicho ecológico e dominância de itens, tendo em vista o consumo constante de mesmos itens em quantidades consideráveis. Peixes jovens apresentaram maior consumo de peixes que adultos tanto para o período chuvoso quanto para o período de estiagem com 75% e 61,7% para jovens, respectivamente e  59,09% e 41,67% para adultos, respectivamente (tabela 1). </w:t>
      </w:r>
    </w:p>
    <w:p w14:paraId="215F2331" w14:textId="77777777" w:rsidR="00AF2743" w:rsidRPr="006236E7" w:rsidRDefault="007624EB" w:rsidP="005C753E">
      <w:pPr>
        <w:spacing w:after="0" w:line="240" w:lineRule="auto"/>
        <w:ind w:left="711" w:firstLine="0"/>
        <w:jc w:val="left"/>
        <w:rPr>
          <w:lang w:val="pt-BR"/>
        </w:rPr>
      </w:pPr>
      <w:r w:rsidRPr="006236E7">
        <w:rPr>
          <w:lang w:val="pt-BR"/>
        </w:rPr>
        <w:t xml:space="preserve"> </w:t>
      </w:r>
    </w:p>
    <w:p w14:paraId="59D5C9EB" w14:textId="77777777" w:rsidR="00AF2743" w:rsidRPr="006236E7" w:rsidRDefault="007624EB" w:rsidP="005C753E">
      <w:pPr>
        <w:spacing w:after="0" w:line="240" w:lineRule="auto"/>
        <w:ind w:left="711" w:firstLine="0"/>
        <w:jc w:val="left"/>
        <w:rPr>
          <w:lang w:val="pt-BR"/>
        </w:rPr>
      </w:pPr>
      <w:r w:rsidRPr="006236E7">
        <w:rPr>
          <w:lang w:val="pt-BR"/>
        </w:rPr>
        <w:t xml:space="preserve"> </w:t>
      </w:r>
    </w:p>
    <w:p w14:paraId="79B02245" w14:textId="77777777" w:rsidR="00AF2743" w:rsidRPr="006236E7" w:rsidRDefault="007624EB" w:rsidP="005C753E">
      <w:pPr>
        <w:spacing w:after="0" w:line="240" w:lineRule="auto"/>
        <w:ind w:left="0" w:right="13" w:firstLine="0"/>
        <w:jc w:val="center"/>
        <w:rPr>
          <w:lang w:val="pt-BR"/>
        </w:rPr>
      </w:pPr>
      <w:r w:rsidRPr="006236E7">
        <w:rPr>
          <w:b/>
          <w:lang w:val="pt-BR"/>
        </w:rPr>
        <w:t>Tabela 1-</w:t>
      </w:r>
      <w:r w:rsidRPr="006236E7">
        <w:rPr>
          <w:lang w:val="pt-BR"/>
        </w:rPr>
        <w:t xml:space="preserve"> Comparativo da alimentação entre machos, fêmeas, jovens e adultos.</w:t>
      </w:r>
      <w:r w:rsidRPr="006236E7">
        <w:rPr>
          <w:b/>
          <w:lang w:val="pt-BR"/>
        </w:rPr>
        <w:t xml:space="preserve"> </w:t>
      </w:r>
    </w:p>
    <w:tbl>
      <w:tblPr>
        <w:tblStyle w:val="TableGrid"/>
        <w:tblW w:w="9139" w:type="dxa"/>
        <w:tblInd w:w="-35" w:type="dxa"/>
        <w:tblCellMar>
          <w:top w:w="9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1711"/>
        <w:gridCol w:w="1965"/>
        <w:gridCol w:w="1301"/>
        <w:gridCol w:w="1065"/>
        <w:gridCol w:w="1576"/>
        <w:gridCol w:w="1521"/>
      </w:tblGrid>
      <w:tr w:rsidR="00AF2743" w14:paraId="711F84BA" w14:textId="77777777">
        <w:trPr>
          <w:trHeight w:val="259"/>
        </w:trPr>
        <w:tc>
          <w:tcPr>
            <w:tcW w:w="1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1FB277" w14:textId="77777777" w:rsidR="00AF2743" w:rsidRPr="006236E7" w:rsidRDefault="007624EB" w:rsidP="005C753E">
            <w:pPr>
              <w:spacing w:after="0" w:line="240" w:lineRule="auto"/>
              <w:ind w:left="70" w:firstLine="0"/>
              <w:jc w:val="left"/>
              <w:rPr>
                <w:lang w:val="pt-BR"/>
              </w:rPr>
            </w:pPr>
            <w:r w:rsidRPr="006236E7">
              <w:rPr>
                <w:sz w:val="21"/>
                <w:u w:val="single" w:color="000000"/>
                <w:lang w:val="pt-BR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0E73BE" w14:textId="77777777" w:rsidR="00AF2743" w:rsidRPr="006236E7" w:rsidRDefault="007624EB" w:rsidP="005C753E">
            <w:pPr>
              <w:spacing w:after="0" w:line="240" w:lineRule="auto"/>
              <w:ind w:left="0" w:firstLine="0"/>
              <w:jc w:val="left"/>
              <w:rPr>
                <w:lang w:val="pt-BR"/>
              </w:rPr>
            </w:pPr>
            <w:r w:rsidRPr="006236E7">
              <w:rPr>
                <w:sz w:val="21"/>
                <w:u w:val="single" w:color="000000"/>
                <w:lang w:val="pt-BR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7B2B3F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  <w:u w:val="single" w:color="000000"/>
              </w:rPr>
              <w:t xml:space="preserve">Fêmea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36E6F4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  <w:u w:val="single" w:color="000000"/>
              </w:rPr>
              <w:t xml:space="preserve">Macho 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46FB08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  <w:u w:val="single" w:color="000000"/>
              </w:rPr>
              <w:t xml:space="preserve">Juvenil (FO%) 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1913F6" w14:textId="77777777" w:rsidR="00AF2743" w:rsidRDefault="007624EB" w:rsidP="005C753E">
            <w:pPr>
              <w:spacing w:after="0" w:line="240" w:lineRule="auto"/>
              <w:ind w:left="0" w:firstLine="0"/>
            </w:pPr>
            <w:r>
              <w:rPr>
                <w:b/>
                <w:sz w:val="21"/>
                <w:u w:val="single" w:color="000000"/>
              </w:rPr>
              <w:t xml:space="preserve">Adultos (FO%) </w:t>
            </w:r>
          </w:p>
        </w:tc>
      </w:tr>
      <w:tr w:rsidR="00AF2743" w14:paraId="5C0BE852" w14:textId="77777777">
        <w:trPr>
          <w:trHeight w:val="755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3D4E5" w14:textId="77777777" w:rsidR="00AF2743" w:rsidRDefault="007624EB" w:rsidP="005C753E">
            <w:pPr>
              <w:spacing w:after="0" w:line="240" w:lineRule="auto"/>
              <w:ind w:left="0" w:right="7" w:firstLine="0"/>
              <w:jc w:val="center"/>
            </w:pPr>
            <w:r>
              <w:rPr>
                <w:sz w:val="21"/>
              </w:rPr>
              <w:t xml:space="preserve">CHUVOSO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C7B42D0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Peixe </w:t>
            </w:r>
          </w:p>
          <w:p w14:paraId="3FBEF570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Crustáceo </w:t>
            </w:r>
          </w:p>
          <w:p w14:paraId="1BDA954B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Molusco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B9E1C4A" w14:textId="77777777" w:rsidR="00AF2743" w:rsidRDefault="007624EB" w:rsidP="005C753E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59,21 </w:t>
            </w:r>
          </w:p>
          <w:p w14:paraId="6BB005A4" w14:textId="77777777" w:rsidR="00AF2743" w:rsidRDefault="007624EB" w:rsidP="005C753E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19,74 </w:t>
            </w:r>
          </w:p>
          <w:p w14:paraId="5AD55EB6" w14:textId="77777777" w:rsidR="00AF2743" w:rsidRDefault="007624EB" w:rsidP="005C753E">
            <w:pPr>
              <w:spacing w:after="0" w:line="240" w:lineRule="auto"/>
              <w:ind w:left="115" w:firstLine="0"/>
              <w:jc w:val="left"/>
            </w:pPr>
            <w:r>
              <w:rPr>
                <w:sz w:val="21"/>
              </w:rPr>
              <w:t xml:space="preserve">2,63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469F48F4" w14:textId="77777777" w:rsidR="00AF2743" w:rsidRDefault="007624EB" w:rsidP="005C753E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82,67 </w:t>
            </w:r>
          </w:p>
          <w:p w14:paraId="67BE9480" w14:textId="77777777" w:rsidR="00AF2743" w:rsidRDefault="007624EB" w:rsidP="005C753E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6,67 </w:t>
            </w:r>
          </w:p>
          <w:p w14:paraId="1553E6DE" w14:textId="77777777" w:rsidR="00AF2743" w:rsidRDefault="007624EB" w:rsidP="005C753E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1,33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ECC897F" w14:textId="77777777" w:rsidR="00AF2743" w:rsidRDefault="007624EB" w:rsidP="005C753E">
            <w:pPr>
              <w:spacing w:after="0" w:line="240" w:lineRule="auto"/>
              <w:ind w:left="565" w:firstLine="0"/>
              <w:jc w:val="left"/>
            </w:pPr>
            <w:r>
              <w:rPr>
                <w:sz w:val="21"/>
              </w:rPr>
              <w:t xml:space="preserve">75 </w:t>
            </w:r>
          </w:p>
          <w:p w14:paraId="17C3A57B" w14:textId="77777777" w:rsidR="00AF2743" w:rsidRDefault="007624EB" w:rsidP="005C753E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9,38 </w:t>
            </w:r>
          </w:p>
          <w:p w14:paraId="47B01914" w14:textId="77777777" w:rsidR="00AF2743" w:rsidRDefault="007624EB" w:rsidP="005C753E">
            <w:pPr>
              <w:spacing w:after="0" w:line="240" w:lineRule="auto"/>
              <w:ind w:left="0" w:right="157" w:firstLine="0"/>
              <w:jc w:val="center"/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9BEF359" w14:textId="77777777" w:rsidR="00AF2743" w:rsidRDefault="007624EB" w:rsidP="005C753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59,09 </w:t>
            </w:r>
          </w:p>
          <w:p w14:paraId="3D8A8A6E" w14:textId="77777777" w:rsidR="00AF2743" w:rsidRDefault="007624EB" w:rsidP="005C753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19,32 </w:t>
            </w:r>
          </w:p>
          <w:p w14:paraId="06ED636C" w14:textId="77777777" w:rsidR="00AF2743" w:rsidRDefault="007624EB" w:rsidP="005C753E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3,41 </w:t>
            </w:r>
          </w:p>
        </w:tc>
      </w:tr>
      <w:tr w:rsidR="00AF2743" w14:paraId="3D08EB57" w14:textId="77777777">
        <w:trPr>
          <w:trHeight w:val="25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FDC7392" w14:textId="77777777" w:rsidR="00AF2743" w:rsidRDefault="00AF2743" w:rsidP="005C753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574A8373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Sedimento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0A1C3B1" w14:textId="77777777" w:rsidR="00AF2743" w:rsidRDefault="007624EB" w:rsidP="005C753E">
            <w:pPr>
              <w:spacing w:after="0" w:line="240" w:lineRule="auto"/>
              <w:ind w:left="115" w:firstLine="0"/>
              <w:jc w:val="left"/>
            </w:pPr>
            <w:r>
              <w:rPr>
                <w:sz w:val="21"/>
              </w:rPr>
              <w:t xml:space="preserve">3,95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38DD533D" w14:textId="77777777" w:rsidR="00AF2743" w:rsidRDefault="007624EB" w:rsidP="005C753E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4,00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DCF2141" w14:textId="77777777" w:rsidR="00AF2743" w:rsidRDefault="007624EB" w:rsidP="005C753E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3,13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2E3B8924" w14:textId="77777777" w:rsidR="00AF2743" w:rsidRDefault="007624EB" w:rsidP="005C753E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5,68 </w:t>
            </w:r>
          </w:p>
        </w:tc>
      </w:tr>
      <w:tr w:rsidR="00AF2743" w14:paraId="104D75E9" w14:textId="77777777" w:rsidTr="001951A7">
        <w:trPr>
          <w:trHeight w:val="249"/>
        </w:trPr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394A77" w14:textId="77777777" w:rsidR="00AF2743" w:rsidRDefault="00AF2743" w:rsidP="005C753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EA7340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Outros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5424AF" w14:textId="77777777" w:rsidR="00AF2743" w:rsidRDefault="007624EB" w:rsidP="005C753E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14,47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101D87" w14:textId="77777777" w:rsidR="00AF2743" w:rsidRDefault="007624EB" w:rsidP="005C753E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5,33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497041" w14:textId="77777777" w:rsidR="00AF2743" w:rsidRDefault="007624EB" w:rsidP="005C753E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12,5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642789" w14:textId="77777777" w:rsidR="00AF2743" w:rsidRDefault="007624EB" w:rsidP="005C753E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12,5 </w:t>
            </w:r>
          </w:p>
        </w:tc>
      </w:tr>
      <w:tr w:rsidR="00AF2743" w14:paraId="20787A98" w14:textId="77777777">
        <w:trPr>
          <w:trHeight w:val="757"/>
        </w:trPr>
        <w:tc>
          <w:tcPr>
            <w:tcW w:w="1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6B11589" w14:textId="77777777" w:rsidR="00AF2743" w:rsidRDefault="007624EB" w:rsidP="005C753E">
            <w:pPr>
              <w:spacing w:after="0" w:line="240" w:lineRule="auto"/>
              <w:ind w:left="2" w:firstLine="0"/>
              <w:jc w:val="center"/>
            </w:pPr>
            <w:r>
              <w:rPr>
                <w:sz w:val="21"/>
              </w:rPr>
              <w:lastRenderedPageBreak/>
              <w:t xml:space="preserve">ESTIAGEM 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93CA7D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Peixe </w:t>
            </w:r>
          </w:p>
          <w:p w14:paraId="0ACBED36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Crustáceo </w:t>
            </w:r>
          </w:p>
          <w:p w14:paraId="4C57F540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Molusco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6880C6" w14:textId="77777777" w:rsidR="00AF2743" w:rsidRDefault="007624EB" w:rsidP="005C753E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55,74 </w:t>
            </w:r>
          </w:p>
          <w:p w14:paraId="752114AD" w14:textId="77777777" w:rsidR="00AF2743" w:rsidRDefault="007624EB" w:rsidP="005C753E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14,75 </w:t>
            </w:r>
          </w:p>
          <w:p w14:paraId="11232E81" w14:textId="77777777" w:rsidR="00AF2743" w:rsidRDefault="007624EB" w:rsidP="005C753E">
            <w:pPr>
              <w:spacing w:after="0" w:line="240" w:lineRule="auto"/>
              <w:ind w:left="246" w:firstLine="0"/>
              <w:jc w:val="left"/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BBD5DF" w14:textId="77777777" w:rsidR="00AF2743" w:rsidRDefault="007624EB" w:rsidP="005C753E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41,30 </w:t>
            </w:r>
          </w:p>
          <w:p w14:paraId="7A0878AA" w14:textId="77777777" w:rsidR="00AF2743" w:rsidRDefault="007624EB" w:rsidP="005C753E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28,26 </w:t>
            </w:r>
          </w:p>
          <w:p w14:paraId="320A1BDA" w14:textId="77777777" w:rsidR="00AF2743" w:rsidRDefault="007624EB" w:rsidP="005C753E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2,17 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DB4B0B" w14:textId="77777777" w:rsidR="00AF2743" w:rsidRDefault="007624EB" w:rsidP="005C753E">
            <w:pPr>
              <w:spacing w:after="0" w:line="240" w:lineRule="auto"/>
              <w:ind w:left="435" w:firstLine="0"/>
              <w:jc w:val="left"/>
            </w:pPr>
            <w:r>
              <w:rPr>
                <w:sz w:val="21"/>
              </w:rPr>
              <w:t xml:space="preserve">61,70 </w:t>
            </w:r>
          </w:p>
          <w:p w14:paraId="1FDABE76" w14:textId="77777777" w:rsidR="00AF2743" w:rsidRDefault="007624EB" w:rsidP="005C753E">
            <w:pPr>
              <w:spacing w:after="0" w:line="240" w:lineRule="auto"/>
              <w:ind w:left="435" w:firstLine="0"/>
              <w:jc w:val="left"/>
            </w:pPr>
            <w:r>
              <w:rPr>
                <w:sz w:val="21"/>
              </w:rPr>
              <w:t xml:space="preserve">17,02 </w:t>
            </w:r>
          </w:p>
          <w:p w14:paraId="25C98A10" w14:textId="77777777" w:rsidR="00AF2743" w:rsidRDefault="007624EB" w:rsidP="005C753E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2,13 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C24F72" w14:textId="77777777" w:rsidR="00AF2743" w:rsidRDefault="007624EB" w:rsidP="005C753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41,67 </w:t>
            </w:r>
          </w:p>
          <w:p w14:paraId="1C6E94C5" w14:textId="77777777" w:rsidR="00AF2743" w:rsidRDefault="007624EB" w:rsidP="005C753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23,33 </w:t>
            </w:r>
          </w:p>
          <w:p w14:paraId="594E0090" w14:textId="77777777" w:rsidR="00AF2743" w:rsidRDefault="007624EB" w:rsidP="005C753E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0,00 </w:t>
            </w:r>
          </w:p>
        </w:tc>
      </w:tr>
      <w:tr w:rsidR="00AF2743" w14:paraId="2C7960D7" w14:textId="77777777">
        <w:trPr>
          <w:trHeight w:val="253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4903CA5F" w14:textId="77777777" w:rsidR="00AF2743" w:rsidRDefault="00AF2743" w:rsidP="005C753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31777E59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Sedimento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036DC05" w14:textId="77777777" w:rsidR="00AF2743" w:rsidRDefault="007624EB" w:rsidP="005C753E">
            <w:pPr>
              <w:spacing w:after="0" w:line="240" w:lineRule="auto"/>
              <w:ind w:left="115" w:firstLine="0"/>
              <w:jc w:val="left"/>
            </w:pPr>
            <w:r>
              <w:rPr>
                <w:sz w:val="21"/>
              </w:rPr>
              <w:t xml:space="preserve">4,92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63A394CA" w14:textId="77777777" w:rsidR="00AF2743" w:rsidRDefault="007624EB" w:rsidP="005C753E">
            <w:pPr>
              <w:spacing w:after="0" w:line="240" w:lineRule="auto"/>
              <w:ind w:left="125" w:firstLine="0"/>
              <w:jc w:val="left"/>
            </w:pPr>
            <w:r>
              <w:rPr>
                <w:sz w:val="21"/>
              </w:rPr>
              <w:t xml:space="preserve">4,35 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58FF595" w14:textId="77777777" w:rsidR="00AF2743" w:rsidRDefault="007624EB" w:rsidP="005C753E">
            <w:pPr>
              <w:spacing w:after="0" w:line="240" w:lineRule="auto"/>
              <w:ind w:left="486" w:firstLine="0"/>
              <w:jc w:val="left"/>
            </w:pPr>
            <w:r>
              <w:rPr>
                <w:sz w:val="21"/>
              </w:rPr>
              <w:t xml:space="preserve">0,00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14:paraId="4ECD13B2" w14:textId="77777777" w:rsidR="00AF2743" w:rsidRDefault="007624EB" w:rsidP="005C753E">
            <w:pPr>
              <w:spacing w:after="0" w:line="240" w:lineRule="auto"/>
              <w:ind w:left="0" w:right="58" w:firstLine="0"/>
              <w:jc w:val="center"/>
            </w:pPr>
            <w:r>
              <w:rPr>
                <w:sz w:val="21"/>
              </w:rPr>
              <w:t xml:space="preserve">8,33 </w:t>
            </w:r>
          </w:p>
        </w:tc>
      </w:tr>
      <w:tr w:rsidR="00AF2743" w14:paraId="54DAAFDA" w14:textId="77777777" w:rsidTr="001951A7">
        <w:trPr>
          <w:trHeight w:val="203"/>
        </w:trPr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84F564" w14:textId="77777777" w:rsidR="00AF2743" w:rsidRDefault="00AF2743" w:rsidP="005C753E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C6DCA3" w14:textId="77777777" w:rsidR="00AF2743" w:rsidRDefault="007624EB" w:rsidP="005C753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1"/>
              </w:rPr>
              <w:t xml:space="preserve">Outros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0B34DA" w14:textId="77777777" w:rsidR="00AF2743" w:rsidRDefault="007624EB" w:rsidP="005C753E">
            <w:pPr>
              <w:spacing w:after="0" w:line="240" w:lineRule="auto"/>
              <w:ind w:left="60" w:firstLine="0"/>
              <w:jc w:val="left"/>
            </w:pPr>
            <w:r>
              <w:rPr>
                <w:sz w:val="21"/>
              </w:rPr>
              <w:t xml:space="preserve">24,59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F76EA7" w14:textId="77777777" w:rsidR="00AF2743" w:rsidRDefault="007624EB" w:rsidP="005C753E">
            <w:pPr>
              <w:spacing w:after="0" w:line="240" w:lineRule="auto"/>
              <w:ind w:left="70" w:firstLine="0"/>
              <w:jc w:val="left"/>
            </w:pPr>
            <w:r>
              <w:rPr>
                <w:sz w:val="21"/>
              </w:rPr>
              <w:t xml:space="preserve">23,91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5CE63F" w14:textId="77777777" w:rsidR="00AF2743" w:rsidRDefault="007624EB" w:rsidP="005C753E">
            <w:pPr>
              <w:spacing w:after="0" w:line="240" w:lineRule="auto"/>
              <w:ind w:left="435" w:firstLine="0"/>
              <w:jc w:val="left"/>
            </w:pPr>
            <w:r>
              <w:rPr>
                <w:sz w:val="21"/>
              </w:rPr>
              <w:t xml:space="preserve">19,15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F9AFD1" w14:textId="77777777" w:rsidR="00AF2743" w:rsidRDefault="007624EB" w:rsidP="005C753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1"/>
              </w:rPr>
              <w:t xml:space="preserve">26,67 </w:t>
            </w:r>
          </w:p>
        </w:tc>
      </w:tr>
    </w:tbl>
    <w:p w14:paraId="6499309C" w14:textId="77777777" w:rsidR="00AF2743" w:rsidRDefault="007624EB" w:rsidP="005C753E">
      <w:pPr>
        <w:spacing w:after="0" w:line="240" w:lineRule="auto"/>
        <w:ind w:left="0" w:right="9" w:firstLine="0"/>
        <w:jc w:val="center"/>
      </w:pPr>
      <w:r>
        <w:rPr>
          <w:sz w:val="20"/>
        </w:rPr>
        <w:t xml:space="preserve">Fonte: Elaborado pelo autor. </w:t>
      </w:r>
    </w:p>
    <w:p w14:paraId="79552673" w14:textId="77777777" w:rsidR="00A47556" w:rsidRDefault="00A47556" w:rsidP="00C12D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szCs w:val="24"/>
          <w:lang w:val="pt-BR"/>
        </w:rPr>
      </w:pPr>
    </w:p>
    <w:p w14:paraId="7B120FD0" w14:textId="3F3F455F" w:rsidR="00C12DDA" w:rsidRPr="00C12DDA" w:rsidRDefault="00C12DDA" w:rsidP="00C12D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lang w:val="pt-BR"/>
        </w:rPr>
      </w:pPr>
      <w:r w:rsidRPr="00C12DDA">
        <w:rPr>
          <w:b/>
          <w:szCs w:val="24"/>
          <w:lang w:val="pt-BR"/>
        </w:rPr>
        <w:t>Objetivos de Desenvolvimento Sustentável</w:t>
      </w:r>
      <w:r w:rsidRPr="00C12DDA">
        <w:rPr>
          <w:b/>
          <w:lang w:val="pt-BR"/>
        </w:rPr>
        <w:t xml:space="preserve"> </w:t>
      </w:r>
    </w:p>
    <w:p w14:paraId="7EF59864" w14:textId="77777777" w:rsidR="00C12DDA" w:rsidRPr="00C12DDA" w:rsidRDefault="00C12DDA" w:rsidP="00C12D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FF0000"/>
          <w:sz w:val="20"/>
          <w:szCs w:val="20"/>
          <w:lang w:val="pt-BR"/>
        </w:rPr>
      </w:pPr>
      <w:r w:rsidRPr="00C12DDA">
        <w:rPr>
          <w:color w:val="FF0000"/>
          <w:sz w:val="20"/>
          <w:szCs w:val="20"/>
          <w:lang w:val="pt-BR"/>
        </w:rPr>
        <w:t>(deixar apenas aqueles relacionados ao trabalho e apagar os demais, caso se aplique)</w:t>
      </w:r>
    </w:p>
    <w:p w14:paraId="05C57FE1" w14:textId="77777777" w:rsidR="00C12DDA" w:rsidRDefault="00C12DDA" w:rsidP="00C12DD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</w:rPr>
      </w:pPr>
      <w:r>
        <w:rPr>
          <w:b/>
          <w:noProof/>
        </w:rPr>
        <w:drawing>
          <wp:inline distT="114300" distB="114300" distL="114300" distR="114300" wp14:anchorId="04C787D9" wp14:editId="75B350A4">
            <wp:extent cx="360000" cy="360000"/>
            <wp:effectExtent l="0" t="0" r="0" b="0"/>
            <wp:docPr id="29" name="image8.png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8.png" descr="Text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7B29A859" wp14:editId="082C5971">
            <wp:extent cx="360000" cy="360000"/>
            <wp:effectExtent l="0" t="0" r="0" b="0"/>
            <wp:docPr id="36" name="image7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 descr="Ícone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28700850" wp14:editId="6CFBAABE">
            <wp:extent cx="360000" cy="360000"/>
            <wp:effectExtent l="0" t="0" r="0" b="0"/>
            <wp:docPr id="34" name="image16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 descr="Ícone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0DD23862" wp14:editId="54C9B6BB">
            <wp:extent cx="360000" cy="360000"/>
            <wp:effectExtent l="0" t="0" r="0" b="0"/>
            <wp:docPr id="38" name="image21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 descr="Uma imagem contendo Ícone&#10;&#10;Descrição gerad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59740770" wp14:editId="534E35EB">
            <wp:extent cx="360000" cy="360000"/>
            <wp:effectExtent l="0" t="0" r="0" b="0"/>
            <wp:docPr id="39" name="image2.png" descr="Ícon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 descr="Ícone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7A77573A" wp14:editId="4F5A4AA0">
            <wp:extent cx="360000" cy="360000"/>
            <wp:effectExtent l="0" t="0" r="0" b="0"/>
            <wp:docPr id="35" name="image4.png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4.png" descr="Forma&#10;&#10;Descrição gerada automaticamente com confiança méd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55EDAE05" wp14:editId="1A39E41D">
            <wp:extent cx="360000" cy="360000"/>
            <wp:effectExtent l="0" t="0" r="0" b="0"/>
            <wp:docPr id="33" name="image14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4.png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39F0EE66" wp14:editId="6AF68BEE">
            <wp:extent cx="360000" cy="360000"/>
            <wp:effectExtent l="0" t="0" r="0" b="0"/>
            <wp:docPr id="28" name="image5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 descr="Uma imagem contendo Ícone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0F63113D" wp14:editId="66991AAA">
            <wp:extent cx="360000" cy="360000"/>
            <wp:effectExtent l="0" t="0" r="0" b="0"/>
            <wp:docPr id="27" name="image1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 descr="Uma imagem contendo 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1AA0CCDE" wp14:editId="25E023B6">
            <wp:extent cx="360000" cy="360000"/>
            <wp:effectExtent l="0" t="0" r="0" b="0"/>
            <wp:docPr id="32" name="image18.jp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g" descr="Uma imagem contendo Ícone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22C6C666" wp14:editId="3EB60342">
            <wp:extent cx="360000" cy="360000"/>
            <wp:effectExtent l="0" t="0" r="0" b="0"/>
            <wp:docPr id="44" name="image19.png" descr="Uma imagem contendo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 descr="Uma imagem contendo Ícone&#10;&#10;Descrição gerada automaticament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67A7CA66" wp14:editId="2B0C9993">
            <wp:extent cx="360000" cy="360000"/>
            <wp:effectExtent l="0" t="0" r="0" b="0"/>
            <wp:docPr id="37" name="image3.pn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 descr="Uma imagem contendo Logotipo&#10;&#10;Descrição gerada automaticament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1D6C732C" wp14:editId="648B1F7F">
            <wp:extent cx="360000" cy="360000"/>
            <wp:effectExtent l="0" t="0" r="0" b="0"/>
            <wp:docPr id="30" name="image11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 descr="Uma imagem contendo Texto&#10;&#10;Descrição gerada automaticamente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48443409" wp14:editId="7B8D227F">
            <wp:extent cx="360000" cy="360000"/>
            <wp:effectExtent l="0" t="0" r="0" b="0"/>
            <wp:docPr id="42" name="image15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 descr="Ícone&#10;&#10;Descrição gerada automaticament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70714B2F" wp14:editId="455E3D64">
            <wp:extent cx="360000" cy="360000"/>
            <wp:effectExtent l="0" t="0" r="0" b="0"/>
            <wp:docPr id="25" name="image6.png" descr="Interface gráfica do usuário, Aplicativo,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6.png" descr="Interface gráfica do usuário, Aplicativo, Ícone&#10;&#10;Descrição gerada automaticament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4B65EDC9" wp14:editId="2060044C">
            <wp:extent cx="360000" cy="360000"/>
            <wp:effectExtent l="0" t="0" r="0" b="0"/>
            <wp:docPr id="45" name="image20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0.png" descr="Uma imagem contendo Texto&#10;&#10;Descrição gerada automaticamente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114300" distB="114300" distL="114300" distR="114300" wp14:anchorId="1E91AE01" wp14:editId="55CD2066">
            <wp:extent cx="360000" cy="360000"/>
            <wp:effectExtent l="0" t="0" r="0" b="0"/>
            <wp:docPr id="26" name="image10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 descr="Ícone&#10;&#10;Descrição gerada automaticamente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1AB9AB" w14:textId="77777777" w:rsidR="00C12DDA" w:rsidRDefault="00C12DDA" w:rsidP="005C753E">
      <w:pPr>
        <w:spacing w:after="0" w:line="240" w:lineRule="auto"/>
        <w:ind w:left="0" w:firstLine="0"/>
        <w:jc w:val="left"/>
        <w:rPr>
          <w:b/>
          <w:bCs/>
        </w:rPr>
      </w:pPr>
    </w:p>
    <w:p w14:paraId="3EB5BD14" w14:textId="7A51CD4E" w:rsidR="00AF2743" w:rsidRPr="00C12DDA" w:rsidRDefault="007624EB" w:rsidP="005C753E">
      <w:pPr>
        <w:spacing w:after="0" w:line="240" w:lineRule="auto"/>
        <w:ind w:left="0" w:firstLine="0"/>
        <w:jc w:val="left"/>
        <w:rPr>
          <w:b/>
          <w:bCs/>
          <w:lang w:val="pt-BR"/>
        </w:rPr>
      </w:pPr>
      <w:r w:rsidRPr="00C12DDA">
        <w:rPr>
          <w:b/>
          <w:bCs/>
          <w:lang w:val="pt-BR"/>
        </w:rPr>
        <w:t xml:space="preserve">CONSIDERAÇÕES FINAIS </w:t>
      </w:r>
    </w:p>
    <w:p w14:paraId="5D237E48" w14:textId="77777777" w:rsidR="00AF2743" w:rsidRPr="006236E7" w:rsidRDefault="007624EB" w:rsidP="005C753E">
      <w:pPr>
        <w:spacing w:after="0" w:line="240" w:lineRule="auto"/>
        <w:ind w:left="-15" w:firstLine="711"/>
        <w:rPr>
          <w:lang w:val="pt-BR"/>
        </w:rPr>
      </w:pPr>
      <w:r w:rsidRPr="006236E7">
        <w:rPr>
          <w:lang w:val="pt-BR"/>
        </w:rPr>
        <w:t xml:space="preserve">Com os resultados obtidos é possível definir a espécie como animais especialistas com alimentação predatória de pequenos peixes e crustáceos, provando comportamento carnívoro com tendência piscívora. Os estômagos analisados não possuem grau de digestão excepcionalmente favorável a identificação a nível de espécie especificamente de maior parte dos itens encontrados, tendo em vista que 71% dos itens estavam digeridos e 20,1% semidigeridos. Dos itens encontrados e identificados, a maior abundância é de espécies de pequenos peixes, seguido de crustáceos. Não existe preferência alimentar em relação ao sexo, estágio maturacional e sazonalidade, os itens descritos foram encontrados durante todo o ano, embora o consumo de peixe apresentou-se reduzido para o período de estiagem em comparação com o período chuvoso.  </w:t>
      </w:r>
    </w:p>
    <w:p w14:paraId="35B07E14" w14:textId="77777777" w:rsidR="00AF2743" w:rsidRPr="001951A7" w:rsidRDefault="007624EB" w:rsidP="005C753E">
      <w:pPr>
        <w:spacing w:after="0" w:line="240" w:lineRule="auto"/>
        <w:ind w:left="0" w:firstLine="0"/>
        <w:jc w:val="left"/>
        <w:rPr>
          <w:sz w:val="20"/>
          <w:szCs w:val="20"/>
          <w:lang w:val="pt-BR"/>
        </w:rPr>
      </w:pPr>
      <w:r w:rsidRPr="001951A7">
        <w:rPr>
          <w:b/>
          <w:sz w:val="20"/>
          <w:szCs w:val="20"/>
          <w:lang w:val="pt-BR"/>
        </w:rPr>
        <w:t xml:space="preserve"> </w:t>
      </w:r>
    </w:p>
    <w:p w14:paraId="4EE18AA6" w14:textId="77777777" w:rsidR="00AF2743" w:rsidRPr="006236E7" w:rsidRDefault="007624EB" w:rsidP="005C753E">
      <w:pPr>
        <w:spacing w:after="0" w:line="240" w:lineRule="auto"/>
        <w:ind w:left="-5"/>
        <w:rPr>
          <w:lang w:val="pt-BR"/>
        </w:rPr>
      </w:pPr>
      <w:r w:rsidRPr="006236E7">
        <w:rPr>
          <w:b/>
          <w:lang w:val="pt-BR"/>
        </w:rPr>
        <w:t>Palavras-chave:</w:t>
      </w:r>
      <w:r w:rsidRPr="006236E7">
        <w:rPr>
          <w:lang w:val="pt-BR"/>
        </w:rPr>
        <w:t xml:space="preserve"> Alimentação. Ecologia trófica. Dinâmica ecológica</w:t>
      </w:r>
      <w:r w:rsidRPr="006236E7">
        <w:rPr>
          <w:b/>
          <w:lang w:val="pt-BR"/>
        </w:rPr>
        <w:t xml:space="preserve">.  </w:t>
      </w:r>
    </w:p>
    <w:p w14:paraId="3D90E3C9" w14:textId="77777777" w:rsidR="00AF2743" w:rsidRPr="001951A7" w:rsidRDefault="007624EB" w:rsidP="005C753E">
      <w:pPr>
        <w:spacing w:after="0" w:line="240" w:lineRule="auto"/>
        <w:ind w:left="118" w:firstLine="0"/>
        <w:jc w:val="center"/>
        <w:rPr>
          <w:sz w:val="20"/>
          <w:szCs w:val="20"/>
          <w:lang w:val="pt-BR"/>
        </w:rPr>
      </w:pPr>
      <w:r w:rsidRPr="001951A7">
        <w:rPr>
          <w:color w:val="FF0000"/>
          <w:sz w:val="20"/>
          <w:szCs w:val="20"/>
          <w:lang w:val="pt-BR"/>
        </w:rPr>
        <w:t xml:space="preserve"> </w:t>
      </w:r>
      <w:r w:rsidRPr="001951A7">
        <w:rPr>
          <w:color w:val="4472C4"/>
          <w:sz w:val="20"/>
          <w:szCs w:val="20"/>
          <w:lang w:val="pt-BR"/>
        </w:rPr>
        <w:t xml:space="preserve"> </w:t>
      </w:r>
    </w:p>
    <w:p w14:paraId="7A7F7BEB" w14:textId="77777777" w:rsidR="00AF2743" w:rsidRDefault="007624EB" w:rsidP="005C753E">
      <w:pPr>
        <w:pStyle w:val="Ttulo1"/>
        <w:spacing w:after="0" w:line="240" w:lineRule="auto"/>
        <w:ind w:left="-5" w:right="0"/>
      </w:pPr>
      <w:r>
        <w:t xml:space="preserve">REFERÊNCIAS </w:t>
      </w:r>
    </w:p>
    <w:p w14:paraId="07C1E7C7" w14:textId="77777777" w:rsidR="00AF2743" w:rsidRPr="006236E7" w:rsidRDefault="007624EB" w:rsidP="005C753E">
      <w:pPr>
        <w:spacing w:after="0" w:line="240" w:lineRule="auto"/>
        <w:ind w:left="-6" w:right="-11" w:hanging="11"/>
        <w:rPr>
          <w:lang w:val="pt-BR"/>
        </w:rPr>
      </w:pPr>
      <w:r w:rsidRPr="006236E7">
        <w:rPr>
          <w:sz w:val="22"/>
          <w:lang w:val="pt-BR"/>
        </w:rPr>
        <w:t xml:space="preserve">WINEMILLER, K.O.; AGOSTINHO, A.A.; CARAMASCHI, E.P. Fish ecology in tropical streams. </w:t>
      </w:r>
      <w:r>
        <w:rPr>
          <w:sz w:val="22"/>
        </w:rPr>
        <w:t xml:space="preserve">In: </w:t>
      </w:r>
      <w:r>
        <w:rPr>
          <w:b/>
          <w:sz w:val="22"/>
        </w:rPr>
        <w:t>Dudgeon D (ed) Tropical Stream Ecology. Elsevier/Academic Press</w:t>
      </w:r>
      <w:r>
        <w:rPr>
          <w:sz w:val="22"/>
        </w:rPr>
        <w:t xml:space="preserve">, San Diego, p 107-146. </w:t>
      </w:r>
      <w:r w:rsidRPr="006236E7">
        <w:rPr>
          <w:sz w:val="22"/>
          <w:lang w:val="pt-BR"/>
        </w:rPr>
        <w:t xml:space="preserve">2008 </w:t>
      </w:r>
    </w:p>
    <w:p w14:paraId="34E56515" w14:textId="77777777" w:rsidR="00AF2743" w:rsidRPr="006236E7" w:rsidRDefault="007624EB" w:rsidP="005C753E">
      <w:pPr>
        <w:spacing w:after="0" w:line="240" w:lineRule="auto"/>
        <w:ind w:left="-6" w:right="-11" w:hanging="11"/>
        <w:rPr>
          <w:lang w:val="pt-BR"/>
        </w:rPr>
      </w:pPr>
      <w:r w:rsidRPr="006236E7">
        <w:rPr>
          <w:sz w:val="22"/>
          <w:lang w:val="pt-BR"/>
        </w:rPr>
        <w:t xml:space="preserve">DEUS, A. A. L. </w:t>
      </w:r>
      <w:r w:rsidRPr="006236E7">
        <w:rPr>
          <w:b/>
          <w:sz w:val="22"/>
          <w:lang w:val="pt-BR"/>
        </w:rPr>
        <w:t>Hábitos alimentares de espécies da comunidade íctica da lagoa de Iquipari, norte do Estado do Rio de Janeiro</w:t>
      </w:r>
      <w:r w:rsidRPr="006236E7">
        <w:rPr>
          <w:sz w:val="22"/>
          <w:lang w:val="pt-BR"/>
        </w:rPr>
        <w:t>. Dissertação. (Mestrado em Ecologia e Recursos Naturais) – Universidade Estadual do Norte Fluminense, Campos dos Goytacazes, RJ,</w:t>
      </w:r>
      <w:r w:rsidRPr="006236E7">
        <w:rPr>
          <w:rFonts w:ascii="Calibri" w:eastAsia="Calibri" w:hAnsi="Calibri" w:cs="Calibri"/>
          <w:sz w:val="21"/>
          <w:lang w:val="pt-BR"/>
        </w:rPr>
        <w:t xml:space="preserve"> </w:t>
      </w:r>
      <w:r w:rsidRPr="006236E7">
        <w:rPr>
          <w:sz w:val="22"/>
          <w:lang w:val="pt-BR"/>
        </w:rPr>
        <w:t xml:space="preserve">2010.  </w:t>
      </w:r>
    </w:p>
    <w:p w14:paraId="5F639B69" w14:textId="77777777" w:rsidR="00AF2743" w:rsidRDefault="007624EB" w:rsidP="005C753E">
      <w:pPr>
        <w:spacing w:after="0" w:line="240" w:lineRule="auto"/>
        <w:ind w:left="-6" w:right="-11" w:hanging="11"/>
      </w:pPr>
      <w:r w:rsidRPr="006236E7">
        <w:rPr>
          <w:sz w:val="22"/>
          <w:lang w:val="pt-BR"/>
        </w:rPr>
        <w:t xml:space="preserve">HAHN, N. S. JUNIOR, A. M.; FUGI, R. AGOSTINHO, A. A. Aspectos da alimentação do armado, Ptedoras granulosus (Ostariophysi, Doradidae) em distintos ambientes do alto rio Paraná. </w:t>
      </w:r>
      <w:r>
        <w:rPr>
          <w:b/>
          <w:sz w:val="22"/>
        </w:rPr>
        <w:t>REVISTA UNIMAR</w:t>
      </w:r>
      <w:r>
        <w:rPr>
          <w:sz w:val="22"/>
        </w:rPr>
        <w:t xml:space="preserve">, 14 (Suplemento): p. 163-176,1992 </w:t>
      </w:r>
    </w:p>
    <w:p w14:paraId="0B4E019C" w14:textId="77777777" w:rsidR="00AF2743" w:rsidRPr="006236E7" w:rsidRDefault="007624EB" w:rsidP="005C753E">
      <w:pPr>
        <w:spacing w:after="0" w:line="240" w:lineRule="auto"/>
        <w:ind w:left="-6" w:right="-11" w:hanging="11"/>
        <w:rPr>
          <w:lang w:val="pt-BR"/>
        </w:rPr>
      </w:pPr>
      <w:r>
        <w:rPr>
          <w:sz w:val="22"/>
        </w:rPr>
        <w:t xml:space="preserve">HELFMAN, G. S.; COLLETTE, B.B.; FACEY, E.D.; BOWEN, B.W. </w:t>
      </w:r>
      <w:r>
        <w:rPr>
          <w:b/>
          <w:sz w:val="22"/>
        </w:rPr>
        <w:t>The diversity of fishes: biology, evolution and ecology</w:t>
      </w:r>
      <w:r>
        <w:rPr>
          <w:sz w:val="22"/>
        </w:rPr>
        <w:t xml:space="preserve">. </w:t>
      </w:r>
      <w:r w:rsidRPr="006236E7">
        <w:rPr>
          <w:sz w:val="22"/>
          <w:lang w:val="pt-BR"/>
        </w:rPr>
        <w:t xml:space="preserve">Oxford: Backwell Science, 2009. </w:t>
      </w:r>
    </w:p>
    <w:p w14:paraId="4AA077D1" w14:textId="77777777" w:rsidR="00AF2743" w:rsidRPr="006236E7" w:rsidRDefault="007624EB" w:rsidP="005C753E">
      <w:pPr>
        <w:spacing w:after="0" w:line="240" w:lineRule="auto"/>
        <w:ind w:left="-6" w:right="-11" w:hanging="11"/>
        <w:rPr>
          <w:lang w:val="pt-BR"/>
        </w:rPr>
      </w:pPr>
      <w:r w:rsidRPr="006236E7">
        <w:rPr>
          <w:sz w:val="22"/>
          <w:lang w:val="pt-BR"/>
        </w:rPr>
        <w:t xml:space="preserve">HÉRAN, R.A. Análises de contenidos estomacales em peces. Caracas: </w:t>
      </w:r>
      <w:r w:rsidRPr="006236E7">
        <w:rPr>
          <w:b/>
          <w:sz w:val="22"/>
          <w:lang w:val="pt-BR"/>
        </w:rPr>
        <w:t>Inf. Tec. Inst. Esp. Oceanografia</w:t>
      </w:r>
      <w:r w:rsidRPr="006236E7">
        <w:rPr>
          <w:sz w:val="22"/>
          <w:lang w:val="pt-BR"/>
        </w:rPr>
        <w:t>, p. 74. 1987.</w:t>
      </w:r>
      <w:r w:rsidRPr="006236E7">
        <w:rPr>
          <w:sz w:val="20"/>
          <w:lang w:val="pt-BR"/>
        </w:rPr>
        <w:t xml:space="preserve"> </w:t>
      </w:r>
    </w:p>
    <w:sectPr w:rsidR="00AF2743" w:rsidRPr="006236E7">
      <w:pgSz w:w="11905" w:h="16840"/>
      <w:pgMar w:top="1432" w:right="1408" w:bottom="148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TQ2NDE3NrMwMTRV0lEKTi0uzszPAykwqQUAn3dxMiwAAAA="/>
  </w:docVars>
  <w:rsids>
    <w:rsidRoot w:val="00AF2743"/>
    <w:rsid w:val="001951A7"/>
    <w:rsid w:val="003674E2"/>
    <w:rsid w:val="003B0F55"/>
    <w:rsid w:val="005C753E"/>
    <w:rsid w:val="006236E7"/>
    <w:rsid w:val="007624EB"/>
    <w:rsid w:val="0089754A"/>
    <w:rsid w:val="00A47556"/>
    <w:rsid w:val="00AF2743"/>
    <w:rsid w:val="00BD197D"/>
    <w:rsid w:val="00C1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41FA"/>
  <w15:docId w15:val="{E72A4306-2DC7-FD42-8EFE-BC7E185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7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1473</Words>
  <Characters>7960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 Monteles</dc:creator>
  <cp:keywords/>
  <dc:description/>
  <cp:lastModifiedBy>Avaliador</cp:lastModifiedBy>
  <cp:revision>7</cp:revision>
  <dcterms:created xsi:type="dcterms:W3CDTF">2023-08-08T13:26:00Z</dcterms:created>
  <dcterms:modified xsi:type="dcterms:W3CDTF">2023-08-23T16:50:00Z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7b8c07e3ee8ad8146c9f259fdd92e63033260c55153ce57cb009b5438cfcc223</vt:lpwstr>
  </property>
</Properties>
</file>